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AC42E0E" w:rsidR="00AE38F8" w:rsidRPr="00EB6B37" w:rsidRDefault="00BA4FA0">
            <w:pPr>
              <w:spacing w:before="120" w:after="120"/>
              <w:ind w:left="176"/>
              <w:rPr>
                <w:sz w:val="18"/>
                <w:lang w:val="en-GB"/>
              </w:rPr>
            </w:pPr>
            <w:proofErr w:type="spellStart"/>
            <w:r>
              <w:rPr>
                <w:rStyle w:val="Strong"/>
                <w:sz w:val="22"/>
                <w:szCs w:val="22"/>
              </w:rPr>
              <w:t>Development</w:t>
            </w:r>
            <w:proofErr w:type="spellEnd"/>
            <w:r>
              <w:rPr>
                <w:rStyle w:val="Strong"/>
                <w:sz w:val="22"/>
                <w:szCs w:val="22"/>
              </w:rPr>
              <w:t xml:space="preserve"> of green </w:t>
            </w:r>
            <w:proofErr w:type="spellStart"/>
            <w:r>
              <w:rPr>
                <w:rStyle w:val="Strong"/>
                <w:sz w:val="22"/>
                <w:szCs w:val="22"/>
              </w:rPr>
              <w:t>urban</w:t>
            </w:r>
            <w:proofErr w:type="spellEnd"/>
            <w:r>
              <w:rPr>
                <w:rStyle w:val="Strong"/>
                <w:sz w:val="22"/>
                <w:szCs w:val="22"/>
              </w:rPr>
              <w:t xml:space="preserve"> areas – Park </w:t>
            </w:r>
            <w:proofErr w:type="spellStart"/>
            <w:r>
              <w:rPr>
                <w:rStyle w:val="Strong"/>
                <w:sz w:val="22"/>
                <w:szCs w:val="22"/>
              </w:rPr>
              <w:t>Teritories</w:t>
            </w:r>
            <w:proofErr w:type="spellEnd"/>
            <w:r>
              <w:rPr>
                <w:rStyle w:val="Strong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Strong"/>
                <w:sz w:val="22"/>
                <w:szCs w:val="22"/>
              </w:rPr>
              <w:t>Vinica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77BAD4EA" w:rsidR="00AE38F8" w:rsidRPr="00EB6B37" w:rsidRDefault="007E19F5">
            <w:pPr>
              <w:spacing w:before="120" w:after="120"/>
              <w:ind w:left="176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10-37/14</w:t>
            </w:r>
            <w:bookmarkStart w:id="1" w:name="_GoBack"/>
            <w:bookmarkEnd w:id="1"/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Pr="00831948" w:rsidRDefault="00F256CC" w:rsidP="00F256CC">
      <w:pPr>
        <w:spacing w:before="240" w:after="120"/>
        <w:jc w:val="both"/>
        <w:rPr>
          <w:sz w:val="22"/>
          <w:szCs w:val="22"/>
          <w:lang w:val="en-GB"/>
        </w:rPr>
      </w:pPr>
      <w:r>
        <w:rPr>
          <w:lang w:val="en-GB"/>
        </w:rPr>
        <w:br w:type="page"/>
      </w:r>
      <w:r w:rsidRPr="00831948">
        <w:rPr>
          <w:sz w:val="22"/>
          <w:szCs w:val="22"/>
          <w:lang w:val="en-GB"/>
        </w:rPr>
        <w:lastRenderedPageBreak/>
        <w:t>[Only very exceptionally, subject to derogation</w:t>
      </w:r>
      <w:r w:rsidR="00481D06" w:rsidRPr="00831948">
        <w:rPr>
          <w:rStyle w:val="FootnoteReference"/>
          <w:sz w:val="22"/>
          <w:szCs w:val="22"/>
          <w:lang w:val="en-GB"/>
        </w:rPr>
        <w:footnoteReference w:id="2"/>
      </w:r>
      <w:r w:rsidR="00AC3C63" w:rsidRPr="00831948">
        <w:rPr>
          <w:sz w:val="22"/>
          <w:szCs w:val="22"/>
          <w:lang w:val="en-GB"/>
        </w:rPr>
        <w:t>,</w:t>
      </w:r>
      <w:r w:rsidRPr="00831948">
        <w:rPr>
          <w:sz w:val="22"/>
          <w:szCs w:val="22"/>
          <w:lang w:val="en-GB"/>
        </w:rPr>
        <w:t xml:space="preserve"> the works offers which comply with the minimum quality levels, should be technically scored. </w:t>
      </w:r>
    </w:p>
    <w:p w14:paraId="494D5319" w14:textId="77777777" w:rsidR="00F256CC" w:rsidRPr="00831948" w:rsidRDefault="00F256CC" w:rsidP="00F256CC">
      <w:pPr>
        <w:spacing w:before="240" w:after="120"/>
        <w:jc w:val="both"/>
        <w:rPr>
          <w:sz w:val="22"/>
          <w:szCs w:val="22"/>
          <w:lang w:val="en-GB"/>
        </w:rPr>
      </w:pPr>
      <w:r w:rsidRPr="00831948">
        <w:rPr>
          <w:sz w:val="22"/>
          <w:szCs w:val="22"/>
          <w:lang w:val="en-GB"/>
        </w:rPr>
        <w:t>If so, add a technical evaluation grid</w:t>
      </w:r>
      <w:r w:rsidR="00884221" w:rsidRPr="00831948">
        <w:rPr>
          <w:rStyle w:val="FootnoteReference"/>
          <w:sz w:val="22"/>
          <w:szCs w:val="22"/>
          <w:lang w:val="en-GB"/>
        </w:rPr>
        <w:footnoteReference w:id="3"/>
      </w:r>
      <w:r w:rsidRPr="00831948">
        <w:rPr>
          <w:sz w:val="22"/>
          <w:szCs w:val="22"/>
          <w:lang w:val="en-GB"/>
        </w:rPr>
        <w:t xml:space="preserve"> (setting out the technical criteria, </w:t>
      </w:r>
      <w:proofErr w:type="spellStart"/>
      <w:r w:rsidRPr="00831948">
        <w:rPr>
          <w:sz w:val="22"/>
          <w:szCs w:val="22"/>
          <w:lang w:val="en-GB"/>
        </w:rPr>
        <w:t>subcriteria</w:t>
      </w:r>
      <w:proofErr w:type="spellEnd"/>
      <w:r w:rsidRPr="00831948">
        <w:rPr>
          <w:sz w:val="22"/>
          <w:szCs w:val="22"/>
          <w:lang w:val="en-GB"/>
        </w:rPr>
        <w:t xml:space="preserve"> and weightings):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831948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A98F1D0" w14:textId="77777777" w:rsidR="00F256CC" w:rsidRPr="00831948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3214E63" w14:textId="77777777" w:rsidR="00F256CC" w:rsidRPr="00831948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>Criteria</w:t>
            </w:r>
          </w:p>
        </w:tc>
        <w:tc>
          <w:tcPr>
            <w:tcW w:w="1494" w:type="dxa"/>
            <w:shd w:val="clear" w:color="auto" w:fill="auto"/>
          </w:tcPr>
          <w:p w14:paraId="2FC8D33B" w14:textId="77777777" w:rsidR="00F256CC" w:rsidRPr="00831948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snapToGrid/>
                <w:sz w:val="22"/>
                <w:szCs w:val="22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snapToGrid/>
                <w:sz w:val="22"/>
                <w:szCs w:val="22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snapToGrid/>
                <w:sz w:val="22"/>
                <w:szCs w:val="22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831948" w:rsidRDefault="00F256CC" w:rsidP="00F256CC">
            <w:pPr>
              <w:jc w:val="center"/>
              <w:rPr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831948" w:rsidRDefault="00F256CC" w:rsidP="00F256CC">
            <w:pPr>
              <w:rPr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831948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37776E14" w14:textId="77777777" w:rsidR="00F256CC" w:rsidRPr="00831948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  <w:tc>
          <w:tcPr>
            <w:tcW w:w="1494" w:type="dxa"/>
            <w:shd w:val="clear" w:color="auto" w:fill="auto"/>
          </w:tcPr>
          <w:p w14:paraId="7BC6C7D5" w14:textId="77777777" w:rsidR="00F256CC" w:rsidRPr="00831948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  <w:shd w:val="clear" w:color="auto" w:fill="auto"/>
          </w:tcPr>
          <w:p w14:paraId="0F4AF8C2" w14:textId="77777777" w:rsidR="00F256CC" w:rsidRPr="00831948" w:rsidRDefault="00F256CC" w:rsidP="00F256CC">
            <w:pPr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>Overall total score</w:t>
            </w:r>
          </w:p>
        </w:tc>
        <w:tc>
          <w:tcPr>
            <w:tcW w:w="1494" w:type="dxa"/>
            <w:shd w:val="clear" w:color="auto" w:fill="auto"/>
          </w:tcPr>
          <w:p w14:paraId="4A35DB54" w14:textId="77777777" w:rsidR="00F256CC" w:rsidRPr="00831948" w:rsidRDefault="00F256CC" w:rsidP="00F256CC">
            <w:pPr>
              <w:jc w:val="center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831948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831948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lang w:val="en-GB" w:eastAsia="en-GB"/>
              </w:rPr>
            </w:pPr>
            <w:r w:rsidRPr="00831948">
              <w:rPr>
                <w:b/>
                <w:snapToGrid/>
                <w:sz w:val="22"/>
                <w:szCs w:val="22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831948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831948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831948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831948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831948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831948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A7879E" w14:textId="77777777" w:rsidR="005C643F" w:rsidRDefault="005C643F">
      <w:r>
        <w:separator/>
      </w:r>
    </w:p>
  </w:endnote>
  <w:endnote w:type="continuationSeparator" w:id="0">
    <w:p w14:paraId="20E20D2C" w14:textId="77777777" w:rsidR="005C643F" w:rsidRDefault="005C6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D50D6" w14:textId="2F267485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 w:rsidR="007E19F5">
      <w:rPr>
        <w:rStyle w:val="PageNumber"/>
        <w:noProof/>
        <w:sz w:val="18"/>
        <w:szCs w:val="18"/>
        <w:lang w:val="en-GB"/>
      </w:rPr>
      <w:t>1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 w:rsidR="007E19F5">
      <w:rPr>
        <w:rStyle w:val="PageNumber"/>
        <w:noProof/>
        <w:sz w:val="18"/>
        <w:szCs w:val="18"/>
        <w:lang w:val="en-GB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E510300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7E19F5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7E19F5">
      <w:rPr>
        <w:rStyle w:val="PageNumber"/>
        <w:noProof/>
        <w:sz w:val="18"/>
        <w:szCs w:val="18"/>
        <w:lang w:val="en-GB"/>
      </w:rPr>
      <w:t>3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012FE" w14:textId="77777777" w:rsidR="005C643F" w:rsidRDefault="005C643F">
      <w:r>
        <w:separator/>
      </w:r>
    </w:p>
  </w:footnote>
  <w:footnote w:type="continuationSeparator" w:id="0">
    <w:p w14:paraId="3AE5E033" w14:textId="77777777" w:rsidR="005C643F" w:rsidRDefault="005C643F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831948" w:rsidRDefault="00481D06" w:rsidP="007C7211">
      <w:pPr>
        <w:pStyle w:val="FootnoteText"/>
        <w:ind w:left="142" w:hanging="142"/>
        <w:jc w:val="both"/>
        <w:rPr>
          <w:lang w:val="en-GB"/>
        </w:rPr>
      </w:pPr>
      <w:r>
        <w:rPr>
          <w:rStyle w:val="FootnoteReference"/>
        </w:rPr>
        <w:footnoteRef/>
      </w:r>
      <w:r w:rsidR="00CF1E8C">
        <w:rPr>
          <w:lang w:val="en-GB"/>
        </w:rPr>
        <w:tab/>
      </w:r>
      <w:r w:rsidRPr="00831948">
        <w:rPr>
          <w:lang w:val="en-GB"/>
        </w:rPr>
        <w:t xml:space="preserve">Please note that such derogation is not required for </w:t>
      </w:r>
      <w:r w:rsidR="00AC3C63" w:rsidRPr="00831948">
        <w:rPr>
          <w:lang w:val="en-GB"/>
        </w:rPr>
        <w:t>‘</w:t>
      </w:r>
      <w:r w:rsidRPr="00831948">
        <w:rPr>
          <w:lang w:val="en-GB"/>
        </w:rPr>
        <w:t>Design-Build</w:t>
      </w:r>
      <w:r w:rsidR="00AC3C63" w:rsidRPr="00831948">
        <w:rPr>
          <w:lang w:val="en-GB"/>
        </w:rPr>
        <w:t>’</w:t>
      </w:r>
      <w:r w:rsidRPr="00831948">
        <w:rPr>
          <w:lang w:val="en-GB"/>
        </w:rPr>
        <w:t xml:space="preserve"> (</w:t>
      </w:r>
      <w:r w:rsidR="00AC3C63" w:rsidRPr="00831948">
        <w:rPr>
          <w:lang w:val="en-GB"/>
        </w:rPr>
        <w:t>‘</w:t>
      </w:r>
      <w:r w:rsidRPr="00831948">
        <w:rPr>
          <w:lang w:val="en-GB"/>
        </w:rPr>
        <w:t>DB</w:t>
      </w:r>
      <w:r w:rsidR="00AC3C63" w:rsidRPr="00831948">
        <w:rPr>
          <w:lang w:val="en-GB"/>
        </w:rPr>
        <w:t>’</w:t>
      </w:r>
      <w:r w:rsidRPr="00831948">
        <w:rPr>
          <w:lang w:val="en-GB"/>
        </w:rPr>
        <w:t xml:space="preserve">) tender dossiers (see </w:t>
      </w:r>
      <w:r w:rsidR="00AC3C63" w:rsidRPr="00831948">
        <w:rPr>
          <w:lang w:val="en-GB"/>
        </w:rPr>
        <w:t>A</w:t>
      </w:r>
      <w:r w:rsidRPr="00831948">
        <w:rPr>
          <w:lang w:val="en-GB"/>
        </w:rPr>
        <w:t xml:space="preserve">rticle 18 of the DB contract notice, </w:t>
      </w:r>
      <w:r w:rsidR="00AC3C63" w:rsidRPr="00831948">
        <w:rPr>
          <w:lang w:val="en-GB"/>
        </w:rPr>
        <w:t>A</w:t>
      </w:r>
      <w:r w:rsidRPr="00831948">
        <w:rPr>
          <w:lang w:val="en-GB"/>
        </w:rPr>
        <w:t xml:space="preserve">rticle 24 of the DB instructions to tenderers, and footnote 3 in </w:t>
      </w:r>
      <w:r w:rsidR="00AC3C63" w:rsidRPr="00831948">
        <w:rPr>
          <w:lang w:val="en-GB"/>
        </w:rPr>
        <w:t>Section</w:t>
      </w:r>
      <w:r w:rsidRPr="00831948">
        <w:rPr>
          <w:lang w:val="en-GB"/>
        </w:rPr>
        <w:t xml:space="preserve"> 5.3.3 </w:t>
      </w:r>
      <w:r w:rsidR="00AC3C63" w:rsidRPr="00831948">
        <w:rPr>
          <w:lang w:val="en-GB"/>
        </w:rPr>
        <w:t>‘</w:t>
      </w:r>
      <w:r w:rsidRPr="00831948">
        <w:rPr>
          <w:lang w:val="en-GB"/>
        </w:rPr>
        <w:t>Selection and award criteria</w:t>
      </w:r>
      <w:r w:rsidR="00AC3C63" w:rsidRPr="00831948">
        <w:rPr>
          <w:lang w:val="en-GB"/>
        </w:rPr>
        <w:t>’</w:t>
      </w:r>
      <w:r w:rsidRPr="00831948">
        <w:rPr>
          <w:lang w:val="en-GB"/>
        </w:rPr>
        <w:t xml:space="preserve"> of the PRAG</w:t>
      </w:r>
      <w:r w:rsidR="00884221" w:rsidRPr="00831948">
        <w:rPr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FootnoteText"/>
        <w:ind w:left="142" w:hanging="142"/>
        <w:jc w:val="both"/>
        <w:rPr>
          <w:lang w:val="en-GB"/>
        </w:rPr>
      </w:pPr>
      <w:r w:rsidRPr="00831948">
        <w:rPr>
          <w:rStyle w:val="FootnoteReference"/>
        </w:rPr>
        <w:footnoteRef/>
      </w:r>
      <w:r w:rsidR="00CF1E8C" w:rsidRPr="00831948">
        <w:rPr>
          <w:lang w:val="en-GB"/>
        </w:rPr>
        <w:tab/>
      </w:r>
      <w:r w:rsidR="001A2976" w:rsidRPr="00831948">
        <w:rPr>
          <w:lang w:val="en-GB"/>
        </w:rPr>
        <w:t xml:space="preserve">For 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Design-Build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 (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DB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) tender dossiers where the award criterion is 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lowest aggregate of costs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 (see option 3 of </w:t>
      </w:r>
      <w:r w:rsidR="00AC3C63" w:rsidRPr="00831948">
        <w:rPr>
          <w:lang w:val="en-GB"/>
        </w:rPr>
        <w:t>A</w:t>
      </w:r>
      <w:r w:rsidR="001A2976" w:rsidRPr="00831948">
        <w:rPr>
          <w:lang w:val="en-GB"/>
        </w:rPr>
        <w:t xml:space="preserve">rticle 18 of the DB contract notice and of </w:t>
      </w:r>
      <w:r w:rsidR="00AC3C63" w:rsidRPr="00831948">
        <w:rPr>
          <w:lang w:val="en-GB"/>
        </w:rPr>
        <w:t>A</w:t>
      </w:r>
      <w:r w:rsidR="001A2976" w:rsidRPr="00831948">
        <w:rPr>
          <w:lang w:val="en-GB"/>
        </w:rPr>
        <w:t>rticle 24 of the DB instructions to tenderers), the criteria on the basis of which the aggregation of capital expenditure (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CAPEX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>) and operational expenditure (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OPEX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) costs will be calculated, must be specified in the 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Criteria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 column and the </w:t>
      </w:r>
      <w:r w:rsidR="00AC3C63" w:rsidRPr="00831948">
        <w:rPr>
          <w:lang w:val="en-GB"/>
        </w:rPr>
        <w:t>‘</w:t>
      </w:r>
      <w:r w:rsidR="001A2976" w:rsidRPr="00831948">
        <w:rPr>
          <w:lang w:val="en-GB"/>
        </w:rPr>
        <w:t>Maximum</w:t>
      </w:r>
      <w:r w:rsidR="00AC3C63" w:rsidRPr="00831948">
        <w:rPr>
          <w:lang w:val="en-GB"/>
        </w:rPr>
        <w:t>’</w:t>
      </w:r>
      <w:r w:rsidR="001A2976" w:rsidRPr="00831948">
        <w:rPr>
          <w:lang w:val="en-GB"/>
        </w:rPr>
        <w:t xml:space="preserve"> column can be deleted as ponderation is replaced with aggregation</w:t>
      </w:r>
      <w:r w:rsidR="00F35B5E" w:rsidRPr="00831948">
        <w:rPr>
          <w:lang w:val="en-GB"/>
        </w:rPr>
        <w:t xml:space="preserve">.  </w:t>
      </w:r>
      <w:r w:rsidRPr="00831948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05CA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C643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A4C75"/>
    <w:rsid w:val="007C7211"/>
    <w:rsid w:val="007D6CD0"/>
    <w:rsid w:val="007E19F5"/>
    <w:rsid w:val="007F7874"/>
    <w:rsid w:val="0080607B"/>
    <w:rsid w:val="008230A2"/>
    <w:rsid w:val="00831948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5015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4FA0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0A6F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  <w:style w:type="character" w:styleId="Strong">
    <w:name w:val="Strong"/>
    <w:qFormat/>
    <w:rsid w:val="00BA4FA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577EB-67CD-4A4A-9C77-8612548E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Daniela</cp:lastModifiedBy>
  <cp:revision>6</cp:revision>
  <cp:lastPrinted>2016-05-31T08:30:00Z</cp:lastPrinted>
  <dcterms:created xsi:type="dcterms:W3CDTF">2025-03-27T11:51:00Z</dcterms:created>
  <dcterms:modified xsi:type="dcterms:W3CDTF">2025-04-09T06:17:00Z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